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Niezbędne wymagania edukacyjne</w:t>
      </w:r>
      <w:r/>
    </w:p>
    <w:p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do uzyskania śródrocznej i rocznej oceny klasyfikacyjnej z języka niemieckiego</w:t>
      </w:r>
      <w:r/>
    </w:p>
    <w:p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dla klas VII i VIII </w:t>
      </w:r>
      <w:r/>
    </w:p>
    <w:p>
      <w:pPr>
        <w:rPr>
          <w:rFonts w:ascii="Verdana" w:hAnsi="Verdana"/>
          <w:b/>
          <w:bCs/>
          <w:caps/>
          <w:sz w:val="28"/>
          <w:szCs w:val="28"/>
        </w:rPr>
      </w:pPr>
      <w:r>
        <w:rPr>
          <w:rFonts w:ascii="Verdana" w:hAnsi="Verdana"/>
          <w:b/>
          <w:bCs/>
          <w:caps/>
          <w:sz w:val="28"/>
          <w:szCs w:val="28"/>
        </w:rPr>
      </w:r>
      <w:r/>
    </w:p>
    <w:p>
      <w:pPr>
        <w:jc w:val="center"/>
        <w:rPr>
          <w:rFonts w:ascii="Verdana" w:hAnsi="Verdana"/>
          <w:b/>
          <w:bCs/>
          <w:caps/>
          <w:sz w:val="28"/>
          <w:szCs w:val="28"/>
        </w:rPr>
      </w:pPr>
      <w:r>
        <w:rPr>
          <w:rFonts w:ascii="Verdana" w:hAnsi="Verdana"/>
          <w:b/>
          <w:bCs/>
          <w:caps/>
          <w:sz w:val="28"/>
          <w:szCs w:val="28"/>
        </w:rPr>
        <w:t xml:space="preserve">Kryteria ogólne</w:t>
      </w:r>
      <w:r/>
    </w:p>
    <w:p>
      <w:pPr>
        <w:jc w:val="center"/>
        <w:rPr>
          <w:rFonts w:ascii="Verdana" w:hAnsi="Verdana"/>
          <w:caps/>
          <w:sz w:val="32"/>
          <w:szCs w:val="32"/>
        </w:rPr>
      </w:pPr>
      <w:r>
        <w:rPr>
          <w:rFonts w:ascii="Verdana" w:hAnsi="Verdana"/>
          <w:caps/>
          <w:sz w:val="32"/>
          <w:szCs w:val="32"/>
        </w:rPr>
      </w:r>
      <w:r/>
    </w:p>
    <w:tbl>
      <w:tblPr>
        <w:tblW w:w="0" w:type="auto"/>
        <w:tblInd w:w="5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000" w:firstRow="0" w:lastRow="0" w:firstColumn="0" w:lastColumn="0" w:noHBand="0" w:noVBand="0"/>
      </w:tblPr>
      <w:tblGrid>
        <w:gridCol w:w="1984"/>
        <w:gridCol w:w="2495"/>
        <w:gridCol w:w="2495"/>
        <w:gridCol w:w="2495"/>
        <w:gridCol w:w="2495"/>
        <w:gridCol w:w="2495"/>
      </w:tblGrid>
      <w:tr>
        <w:trPr/>
        <w:tc>
          <w:tcPr>
            <w:shd w:val="clear" w:color="auto" w:fill="auto"/>
            <w:tcBorders>
              <w:bottom w:val="single" w:color="000000" w:sz="2" w:space="0"/>
              <w:right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</w:t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DOPUSZCZAJĄCA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</w:t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DOSTATECZNA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</w:t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DOBRA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</w:t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BARDZO DOBRA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OCENA</w:t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CELUJĄCA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Znajomość środków językowych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Uczeń: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zna niewiele podstawowych słów i wyrażeń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liczne błędy w ich zapisie i wymowie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liczne błędy leksykalno-gramatyczne we wszystkich typach zadań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Uczeń: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zna część wprowadzonych słów i wyrażeń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sporo błędów w ich zapisie i wymowie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sporo błędów leksykalno-gramatycznych w trudniejszych zadaniach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Uczeń: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zna większość wprowadzonych słów i wyrażeń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poprawnie je zapisuje i wymawia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nieliczne błędy leksykalno-gramatyczne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auto" w:sz="4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Uczeń: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zna prawie wszystkie wprowadzone słowa i wyrażenia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poprawnie je zapisuje i wymawia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sporadyczne błędy leksykalno-gramatyczne, które zwykle potrafi samodzielnie poprawić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auto" w:sz="4" w:space="0"/>
              <w:right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Uczeń:</w:t>
            </w:r>
            <w:r/>
          </w:p>
          <w:p>
            <w:pPr>
              <w:pStyle w:val="825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•zna wszystkie wprowadzone słowa, wyrażenia, struktury i bezbłędnie je zapisuje.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Rozumienie wypowiedzi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rozumie polecenia nauczyciela, ale w niewielkim stopniu rozwiązuje zadania na słuchanie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rozumie ogólny sens przeczytanych tekstów, ale w niewielkim stopniu rozwiązuje zadania na czytanie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rozumie polecenia nauczyciela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częściowo poprawnie rozwiązuje zadania na czytanie i słuchanie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rozumie polecenia nauczyciela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poprawnie rozwiązuje zadania na czytanie i słuchanie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rozumie polecenia nauczyciela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poprawnie rozwiązuje zadania na czytanie i słuchanie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potrafi uzasadnić swoje odpowiedzi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auto" w:sz="4" w:space="0"/>
              <w:right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•rozumie polecenia nauczyciela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bezbłędnie rozwiązuje zadania na czytanie i słuchanie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potrafi uzasadnić swoje odpowiedzi</w:t>
            </w:r>
            <w:r/>
          </w:p>
          <w:p>
            <w:pPr>
              <w:pStyle w:val="825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Tworzenie wypowiedzi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przekazuje niewielką część istotnych informacji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 w:cs="Verdana" w:eastAsia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wypowiedzi nie są płynne i są bardzo krótkie 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w dużym stopniu nielogiczne i niespójne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stosuje wąski zakres słownictwa i struktur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liczne błędy czasami zakłócają komunikację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przekazuje część istotnych informacji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</w:t>
            </w:r>
            <w:r>
              <w:rPr>
                <w:rFonts w:ascii="Verdana" w:hAnsi="Verdana" w:cs="Verdana" w:eastAsia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wypowiedzi nie są zbyt płynne i są dość krótkie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częściowo nielogiczne i niespójne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stosuje słownictwo i struktury odpowiednie do formy wypowiedzi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sporo błędów, które nie zakłócają komunikacji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przekazuje wszystkie istotne informacje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zwykle płynne i mają odpowiednią długość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logiczne i zwykle spójne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stosuje bogate słownictwo i struktury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nieliczne błędy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przekazuje wszystkie informacje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płynne i mają odpowiednią długość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logiczne i spójne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stosuje bogate słownictwo i struktury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popełnia sporadyczne błędy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1" w:space="0"/>
              <w:bottom w:val="single" w:color="000000" w:sz="2" w:space="0"/>
              <w:right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przekazuje wszystkie informacje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płynne i mają odpowiednią długość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wypowiedzi są logiczne i spójne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stosuje bogate słownictwo i struktury, nie popełnia błędów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  <w:r/>
          </w:p>
          <w:p>
            <w:pPr>
              <w:pStyle w:val="825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Reagowanie na wypowiedzi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czasami reaguje na wypowiedzi w prostych i typowych sytuacjach życia codziennego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zadaje najprostsze pytania, które wprowadzono w podręczniku i czasami odpowiada na nie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reaguje na wypowiedzi w prostych i typowych sytuacjach życia codziennego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odpowiada na większość pytań oraz zadaje niektóre z nich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poprawnie reaguje na wypowiedzi w prostych sytuacjach życia codziennego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zadaje pytania i odpowiada na nie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poprawnie reaguje na pytania i wypowiedzi w prostych sytuacjach życia codziennego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samodzielnie zadaje pytania i wyczerpująco odpowiada na nie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poprawnie reaguje na pytania i wypowiedzi w prostych sytuacjach życia codziennego</w:t>
            </w:r>
            <w:r/>
          </w:p>
          <w:p>
            <w:pPr>
              <w:pStyle w:val="825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samodzielnie zadaje pytania i wyczerpująco odpowiada na nie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Przetwarzanie wypowiedzi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zapisuje niewielką część informacji z tekstu słuchanego lub czytanego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zapisuje część informacji z tekstu słuchanego lub czytanego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zapisuje lub przekazuje ustnie większość informacji z tekstu słuchanego lub czytanego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zapisuje lub przekazuje ustnie informacje z tekstu słuchanego lub czytanego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bezbłędnie zapisuje lub przekazuje ustnie informacje z tekstu słuchanego lub czytanego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1984" w:type="dxa"/>
            <w:textDirection w:val="lrTb"/>
            <w:noWrap w:val="false"/>
          </w:tcPr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  <w:r/>
          </w:p>
          <w:p>
            <w:pPr>
              <w:pStyle w:val="82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Inne kryteria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okazuje zainteresowanie przedmiotem 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rzadko jest aktywny na lekcji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często nie jest przygotowany do zajęć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często nie odrabia pracy domowej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czasami okazuje zainteresowanie przedmiotem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czasami jest aktywny na lekcji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jest przygotowany do zajęć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odrabia pracę domową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okazuje zainteresowanie przedmiotem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jest aktywny na lekcji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zwykle jest przygotowany do zajęć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regularnie odrabia pracę domową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okazuje duże zainteresowanie przedmiotem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jest bardzo aktywny na lekcji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jest przygotowany do zajęć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regularnie odrabia pracę domową</w:t>
            </w:r>
            <w:r/>
          </w:p>
        </w:tc>
        <w:tc>
          <w:tcPr>
            <w:shd w:val="clear" w:color="auto" w:fill="auto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2495" w:type="dxa"/>
            <w:textDirection w:val="lrTb"/>
            <w:noWrap w:val="false"/>
          </w:tcPr>
          <w:p>
            <w:pPr>
              <w:pStyle w:val="825"/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  <w:u w:val="single"/>
              </w:rPr>
              <w:t xml:space="preserve">kryteria jak dla oceny bardzo dobrej</w:t>
            </w:r>
            <w:r/>
          </w:p>
          <w:p>
            <w:pPr>
              <w:pStyle w:val="825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plus: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wykonuje zadania dodatkowe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samodzielnie doskonali swoje umiejętności językowe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  <w:t xml:space="preserve">• samodzielnie szuka dodatkowych informacji (np. w słowniku), osiąga sukcesy w konkursach szkolnych i międzyszkolnych.</w:t>
            </w:r>
            <w:r/>
          </w:p>
          <w:p>
            <w:pPr>
              <w:pStyle w:val="825"/>
              <w:rPr>
                <w:rFonts w:ascii="Verdana" w:hAnsi="Verdana" w:cs="Verdana" w:eastAsia="Verdana"/>
                <w:b w:val="0"/>
                <w:sz w:val="16"/>
                <w:szCs w:val="16"/>
              </w:rPr>
            </w:pPr>
            <w:r>
              <w:rPr>
                <w:rFonts w:ascii="Verdana" w:hAnsi="Verdana" w:cs="Verdana" w:eastAsia="Verdana"/>
                <w:b w:val="0"/>
                <w:sz w:val="16"/>
                <w:szCs w:val="16"/>
              </w:rPr>
            </w:r>
            <w:r/>
          </w:p>
        </w:tc>
      </w:tr>
    </w:tbl>
    <w:p>
      <w:r/>
      <w:r/>
    </w:p>
    <w:p>
      <w:r/>
      <w:r/>
    </w:p>
    <w:p>
      <w:pPr>
        <w:jc w:val="both"/>
        <w:spacing w:before="227" w:line="288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Ocenę niedostateczną otrzymuje uczeń, który nie spełnia większości kryteriów na ocenę dopuszczającą, a jego braki w wiadomościach (środki językowe, fonetyka, ortografia) i umiejętnościach, uniemożliwiają mu naukę na kolejnym etapie nauczania.</w:t>
      </w:r>
      <w:r/>
    </w:p>
    <w:p>
      <w:pPr>
        <w:spacing w:before="227" w:line="288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ZASADY OCENIANIA I FORMY SP</w:t>
      </w:r>
      <w:r>
        <w:rPr>
          <w:rFonts w:ascii="Times New Roman" w:hAnsi="Times New Roman" w:cs="Times New Roman"/>
          <w:b/>
          <w:bCs/>
        </w:rPr>
        <w:t xml:space="preserve">RAWDZANIA WIEDZY I UMIEJĘTNOŚCI UCZNIÓ</w:t>
      </w:r>
      <w:r>
        <w:rPr>
          <w:rFonts w:ascii="Times New Roman" w:hAnsi="Times New Roman" w:cs="Times New Roman"/>
          <w:b/>
          <w:bCs/>
        </w:rPr>
        <w:t xml:space="preserve">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JĘZYKA NIEMIECKIEGO</w:t>
      </w:r>
      <w:r/>
    </w:p>
    <w:p>
      <w:pPr>
        <w:pStyle w:val="823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Formy sprawdzania wiadomości i umiejętności uczniów – co podlega ocenie: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a) Sprawdziany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(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po skończonym rozdziale)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b) Kartkówki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c) Odpowiedzi ustne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d) Prace domowe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e)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Praca na lekcji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f) Opcjonalnie- inne prace</w:t>
      </w:r>
      <w:r>
        <w:rPr>
          <w:rFonts w:ascii="Times New Roman" w:hAnsi="Times New Roman" w:cs="Times New Roman"/>
          <w:b/>
          <w:bCs/>
        </w:rPr>
        <w:t xml:space="preserve"> dodatkowe, szczególne osiągnięcia itp.</w:t>
      </w:r>
      <w:r/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Sprawdziany obejmują materiał z jednego działu i są obowiązkowe. Zapowiadane są</w:t>
      </w:r>
      <w:r>
        <w:rPr>
          <w:rFonts w:ascii="Times New Roman" w:hAnsi="Times New Roman" w:cs="Times New Roman"/>
          <w:b/>
          <w:bCs/>
        </w:rPr>
        <w:t xml:space="preserve"> </w:t>
      </w:r>
      <w:r>
        <w:rPr>
          <w:rFonts w:ascii="Times New Roman" w:hAnsi="Times New Roman" w:cs="Times New Roman"/>
          <w:b/>
          <w:bCs/>
        </w:rPr>
        <w:t xml:space="preserve">z</w:t>
      </w:r>
      <w:r>
        <w:rPr>
          <w:rFonts w:ascii="Times New Roman" w:hAnsi="Times New Roman" w:cs="Times New Roman"/>
          <w:b/>
          <w:bCs/>
        </w:rPr>
        <w:t xml:space="preserve"> </w:t>
      </w:r>
      <w:r>
        <w:rPr>
          <w:rFonts w:ascii="Times New Roman" w:hAnsi="Times New Roman" w:cs="Times New Roman"/>
          <w:b/>
          <w:bCs/>
        </w:rPr>
        <w:t xml:space="preserve">tygodniowym wyprzedzeniem i są poprzedzane lekcją powtórzeniową.</w:t>
      </w:r>
      <w:r>
        <w:rPr>
          <w:rFonts w:ascii="Times New Roman" w:hAnsi="Times New Roman" w:cs="Times New Roman"/>
          <w:b/>
          <w:bCs/>
        </w:rPr>
        <w:t xml:space="preserve"> W</w:t>
      </w:r>
      <w:r>
        <w:rPr>
          <w:rFonts w:ascii="Times New Roman" w:hAnsi="Times New Roman" w:cs="Times New Roman"/>
          <w:b/>
          <w:bCs/>
        </w:rPr>
        <w:t xml:space="preserve"> przypadku nieobecności ucz</w:t>
      </w:r>
      <w:r>
        <w:rPr>
          <w:rFonts w:ascii="Times New Roman" w:hAnsi="Times New Roman" w:cs="Times New Roman"/>
          <w:b/>
          <w:bCs/>
        </w:rPr>
        <w:t xml:space="preserve">nia na sprawdzianie lub jeśli uczeń chce poprawić z niego ocenę, powinien to uczynić </w:t>
      </w:r>
      <w:r>
        <w:rPr>
          <w:rFonts w:ascii="Times New Roman" w:hAnsi="Times New Roman" w:cs="Times New Roman"/>
          <w:b/>
          <w:bCs/>
        </w:rPr>
        <w:t xml:space="preserve">w umówionym</w:t>
      </w:r>
      <w:r>
        <w:rPr>
          <w:rFonts w:ascii="Times New Roman" w:hAnsi="Times New Roman" w:cs="Times New Roman"/>
          <w:b/>
          <w:bCs/>
        </w:rPr>
        <w:t xml:space="preserve"> z </w:t>
      </w:r>
      <w:r>
        <w:rPr>
          <w:rFonts w:ascii="Times New Roman" w:hAnsi="Times New Roman" w:cs="Times New Roman"/>
          <w:b/>
          <w:bCs/>
        </w:rPr>
        <w:t xml:space="preserve">nauczycielem terminie</w:t>
      </w:r>
      <w:r>
        <w:rPr>
          <w:rFonts w:ascii="Times New Roman" w:hAnsi="Times New Roman" w:cs="Times New Roman"/>
          <w:b/>
          <w:bCs/>
        </w:rPr>
        <w:t xml:space="preserve"> nie dłuższym</w:t>
      </w:r>
      <w:r>
        <w:rPr>
          <w:rFonts w:ascii="Times New Roman" w:hAnsi="Times New Roman" w:cs="Times New Roman"/>
          <w:b/>
          <w:bCs/>
        </w:rPr>
        <w:t xml:space="preserve"> niż 2 tygodnie po rozdaniu ocenionych prac. Sprawdziany uczniów są</w:t>
      </w:r>
      <w:r>
        <w:rPr>
          <w:rFonts w:ascii="Times New Roman" w:hAnsi="Times New Roman" w:cs="Times New Roman"/>
          <w:b/>
          <w:bCs/>
        </w:rPr>
        <w:t xml:space="preserve"> </w:t>
      </w:r>
      <w:r>
        <w:rPr>
          <w:rFonts w:ascii="Times New Roman" w:hAnsi="Times New Roman" w:cs="Times New Roman"/>
          <w:b/>
          <w:bCs/>
        </w:rPr>
        <w:t xml:space="preserve">przechowywane przez nauczyciela do</w:t>
      </w:r>
      <w:r>
        <w:rPr>
          <w:rFonts w:ascii="Times New Roman" w:hAnsi="Times New Roman" w:cs="Times New Roman"/>
          <w:b/>
          <w:bCs/>
        </w:rPr>
        <w:t xml:space="preserve"> </w:t>
      </w:r>
      <w:r>
        <w:rPr>
          <w:rFonts w:ascii="Times New Roman" w:hAnsi="Times New Roman" w:cs="Times New Roman"/>
          <w:b/>
          <w:bCs/>
        </w:rPr>
        <w:t xml:space="preserve">końca sierpnia </w:t>
      </w:r>
      <w:r>
        <w:rPr>
          <w:rFonts w:ascii="Times New Roman" w:hAnsi="Times New Roman" w:cs="Times New Roman"/>
          <w:b/>
          <w:bCs/>
        </w:rPr>
        <w:t xml:space="preserve">bieżącego</w:t>
      </w:r>
      <w:r>
        <w:rPr>
          <w:rFonts w:ascii="Times New Roman" w:hAnsi="Times New Roman" w:cs="Times New Roman"/>
          <w:b/>
          <w:bCs/>
        </w:rPr>
        <w:t xml:space="preserve"> roku szkolnego.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Sprawdziany są oceniane zgodnie z poniższą skalą procentową: </w:t>
      </w:r>
      <w:r/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od 0-29% ndst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30-49% dop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50-69% dst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70- 85% db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86-97% bdb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ind w:left="0" w:firstLine="0"/>
        <w:jc w:val="both"/>
        <w:spacing w:line="240" w:lineRule="auto"/>
        <w:shd w:val="nil"/>
        <w:rPr>
          <w:rFonts w:ascii="Times New Roman" w:hAnsi="Times New Roman" w:cs="Times New Roman" w:eastAsia="Times New Roman"/>
          <w:b/>
          <w:sz w:val="22"/>
          <w:vertAlign w:val="baseline"/>
        </w:rPr>
      </w:pPr>
      <w:r>
        <w:rPr>
          <w:rFonts w:ascii="Times New Roman" w:hAnsi="Times New Roman" w:cs="Times New Roman" w:eastAsia="Times New Roman"/>
          <w:b/>
          <w:sz w:val="22"/>
          <w:vertAlign w:val="baseline"/>
        </w:rPr>
        <w:t xml:space="preserve">98-100% cel</w:t>
      </w:r>
      <w:r>
        <w:rPr>
          <w:rFonts w:ascii="Times New Roman" w:hAnsi="Times New Roman" w:cs="Times New Roman" w:eastAsia="Times New Roman"/>
          <w:b/>
          <w:sz w:val="22"/>
          <w:vertAlign w:val="baseline"/>
        </w:rPr>
      </w:r>
    </w:p>
    <w:p>
      <w:pPr>
        <w:pStyle w:val="826"/>
        <w:spacing w:before="0" w:beforeAutospacing="0" w:after="0" w:afterAutospacing="0"/>
        <w:shd w:val="clear" w:color="auto" w:fill="ffffff"/>
        <w:rPr>
          <w:rFonts w:ascii="Segoe UI" w:hAnsi="Segoe UI" w:cs="Segoe UI"/>
          <w:b/>
          <w:color w:val="000000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highlight w:val="none"/>
        </w:rPr>
      </w:r>
      <w:r>
        <w:rPr>
          <w:rFonts w:ascii="Segoe UI" w:hAnsi="Segoe UI" w:cs="Segoe UI"/>
          <w:b/>
          <w:bCs/>
          <w:color w:val="000000"/>
          <w:sz w:val="18"/>
          <w:szCs w:val="18"/>
          <w:highlight w:val="none"/>
        </w:rPr>
      </w:r>
    </w:p>
    <w:p>
      <w:pPr>
        <w:pStyle w:val="823"/>
        <w:jc w:val="both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Kartkówki </w:t>
      </w:r>
      <w:r>
        <w:rPr>
          <w:rFonts w:ascii="Times New Roman" w:hAnsi="Times New Roman" w:cs="Times New Roman"/>
          <w:b/>
          <w:bCs/>
        </w:rPr>
        <w:t xml:space="preserve">i odpowiedzi ustne </w:t>
      </w:r>
      <w:r>
        <w:rPr>
          <w:rFonts w:ascii="Times New Roman" w:hAnsi="Times New Roman" w:cs="Times New Roman"/>
          <w:b/>
          <w:bCs/>
        </w:rPr>
        <w:t xml:space="preserve">obejmują materiał </w:t>
      </w:r>
      <w:r>
        <w:rPr>
          <w:rFonts w:ascii="Times New Roman" w:hAnsi="Times New Roman" w:cs="Times New Roman"/>
          <w:b/>
          <w:bCs/>
        </w:rPr>
        <w:t xml:space="preserve">z 3 ostatnich lekcji</w:t>
      </w:r>
      <w:r>
        <w:rPr>
          <w:rFonts w:ascii="Times New Roman" w:hAnsi="Times New Roman" w:cs="Times New Roman"/>
          <w:b/>
          <w:bCs/>
        </w:rPr>
        <w:t xml:space="preserve">.</w:t>
      </w:r>
      <w:r>
        <w:rPr>
          <w:rFonts w:ascii="Times New Roman" w:hAnsi="Times New Roman" w:cs="Times New Roman"/>
          <w:b/>
          <w:bCs/>
        </w:rPr>
        <w:t xml:space="preserve"> </w:t>
      </w:r>
      <w:r/>
    </w:p>
    <w:p>
      <w:pPr>
        <w:pStyle w:val="8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2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Kartkówki oceniane są zgodnie z punkt</w:t>
      </w:r>
      <w:r>
        <w:rPr>
          <w:rFonts w:ascii="Times New Roman" w:hAnsi="Times New Roman" w:cs="Times New Roman"/>
          <w:b/>
          <w:bCs/>
        </w:rPr>
        <w:t xml:space="preserve">a</w:t>
      </w:r>
      <w:r>
        <w:rPr>
          <w:rFonts w:ascii="Times New Roman" w:hAnsi="Times New Roman" w:cs="Times New Roman"/>
          <w:b/>
          <w:bCs/>
        </w:rPr>
        <w:t xml:space="preserve">cją:</w:t>
      </w:r>
      <w:r/>
    </w:p>
    <w:p>
      <w:pPr>
        <w:pStyle w:val="823"/>
        <w:jc w:val="both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 p.   – cel</w:t>
      </w:r>
      <w:r/>
    </w:p>
    <w:p>
      <w:pPr>
        <w:pStyle w:val="823"/>
        <w:jc w:val="both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9 p.   – </w:t>
      </w:r>
      <w:r>
        <w:rPr>
          <w:rFonts w:ascii="Times New Roman" w:hAnsi="Times New Roman" w:cs="Times New Roman"/>
          <w:b/>
          <w:bCs/>
        </w:rPr>
        <w:t xml:space="preserve">bdb</w:t>
      </w:r>
      <w:r/>
    </w:p>
    <w:p>
      <w:pPr>
        <w:pStyle w:val="823"/>
        <w:jc w:val="both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7-8 p.  – </w:t>
      </w:r>
      <w:r>
        <w:rPr>
          <w:rFonts w:ascii="Times New Roman" w:hAnsi="Times New Roman" w:cs="Times New Roman"/>
          <w:b/>
          <w:bCs/>
        </w:rPr>
        <w:t xml:space="preserve">db</w:t>
      </w:r>
      <w:r/>
    </w:p>
    <w:p>
      <w:pPr>
        <w:pStyle w:val="823"/>
        <w:jc w:val="both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5-6 p.  – </w:t>
      </w:r>
      <w:r>
        <w:rPr>
          <w:rFonts w:ascii="Times New Roman" w:hAnsi="Times New Roman" w:cs="Times New Roman"/>
          <w:b/>
          <w:bCs/>
        </w:rPr>
        <w:t xml:space="preserve">dst</w:t>
      </w:r>
      <w:r/>
    </w:p>
    <w:p>
      <w:pPr>
        <w:pStyle w:val="823"/>
        <w:jc w:val="both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3-4 p.  – </w:t>
      </w:r>
      <w:r>
        <w:rPr>
          <w:rFonts w:ascii="Times New Roman" w:hAnsi="Times New Roman" w:cs="Times New Roman"/>
          <w:b/>
        </w:rPr>
        <w:t xml:space="preserve">dop</w:t>
      </w:r>
      <w:r>
        <w:rPr>
          <w:b/>
        </w:rPr>
      </w:r>
    </w:p>
    <w:p>
      <w:pPr>
        <w:pStyle w:val="823"/>
        <w:jc w:val="bot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0-2 p.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/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t xml:space="preserve">ndst</w:t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 w:eastAsia="Times New Roman"/>
          <w:b/>
        </w:rPr>
        <w:t xml:space="preserve">Brak zadania domowego</w:t>
      </w:r>
      <w:r>
        <w:rPr>
          <w:rFonts w:ascii="Times New Roman" w:hAnsi="Times New Roman" w:cs="Times New Roman" w:eastAsia="Times New Roman"/>
        </w:rPr>
        <w:t xml:space="preserve"> skutkuje wpisem </w:t>
      </w:r>
      <w:r>
        <w:rPr>
          <w:rFonts w:ascii="Times New Roman" w:hAnsi="Times New Roman" w:cs="Times New Roman" w:eastAsia="Times New Roman"/>
          <w:i/>
          <w:iCs/>
        </w:rPr>
        <w:t xml:space="preserve">bz</w:t>
      </w:r>
      <w:r>
        <w:rPr>
          <w:rFonts w:ascii="Times New Roman" w:hAnsi="Times New Roman" w:cs="Times New Roman" w:eastAsia="Times New Roman"/>
          <w:i/>
          <w:iCs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(brak zadania)</w:t>
      </w:r>
      <w:r>
        <w:rPr>
          <w:rFonts w:ascii="Times New Roman" w:hAnsi="Times New Roman" w:cs="Times New Roman" w:eastAsia="Times New Roman"/>
          <w:i/>
          <w:iCs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d</w:t>
      </w:r>
      <w:r>
        <w:rPr>
          <w:rFonts w:ascii="Times New Roman" w:hAnsi="Times New Roman" w:cs="Times New Roman" w:eastAsia="Times New Roman"/>
        </w:rPr>
        <w:t xml:space="preserve">o dziennika</w:t>
      </w:r>
      <w:r>
        <w:rPr>
          <w:rFonts w:ascii="Times New Roman" w:hAnsi="Times New Roman" w:cs="Times New Roman" w:eastAsia="Times New Roman"/>
        </w:rPr>
        <w:t xml:space="preserve">. </w:t>
      </w:r>
      <w:r>
        <w:rPr>
          <w:rFonts w:ascii="Times New Roman" w:hAnsi="Times New Roman" w:cs="Times New Roman"/>
        </w:rPr>
        <w:t xml:space="preserve">Uczeń w trakcie semestru może zgłosić 2 razy „</w:t>
      </w:r>
      <w:r>
        <w:rPr>
          <w:rFonts w:ascii="Times New Roman" w:hAnsi="Times New Roman" w:cs="Times New Roman"/>
        </w:rPr>
        <w:t xml:space="preserve">bz</w:t>
      </w:r>
      <w:r>
        <w:rPr>
          <w:rFonts w:ascii="Times New Roman" w:hAnsi="Times New Roman" w:cs="Times New Roman"/>
        </w:rPr>
        <w:t xml:space="preserve">”. </w:t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Zgłoszenie braku zadania po raz trzeci skutkuje wpisaniem uwagi z zachowania. </w:t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/>
          <w:b/>
        </w:rPr>
        <w:t xml:space="preserve">N</w:t>
      </w:r>
      <w:r>
        <w:rPr>
          <w:rFonts w:ascii="Times New Roman" w:hAnsi="Times New Roman" w:cs="Times New Roman"/>
          <w:b/>
        </w:rPr>
        <w:t xml:space="preserve">ieprzygotowanie do lekcji</w:t>
      </w:r>
      <w:r>
        <w:rPr>
          <w:rFonts w:ascii="Times New Roman" w:hAnsi="Times New Roman" w:cs="Times New Roman"/>
        </w:rPr>
        <w:t xml:space="preserve">, tzw. „</w:t>
      </w:r>
      <w:r>
        <w:rPr>
          <w:rFonts w:ascii="Times New Roman" w:hAnsi="Times New Roman" w:cs="Times New Roman"/>
        </w:rPr>
        <w:t xml:space="preserve">np</w:t>
      </w:r>
      <w:r>
        <w:rPr>
          <w:rFonts w:ascii="Times New Roman" w:hAnsi="Times New Roman" w:cs="Times New Roman"/>
        </w:rPr>
        <w:t xml:space="preserve">” uczeń może zgłosić 2 razy w ciągu półrocza. </w:t>
      </w:r>
      <w:r>
        <w:rPr>
          <w:rFonts w:ascii="Times New Roman" w:hAnsi="Times New Roman" w:cs="Times New Roman" w:eastAsia="Times New Roman"/>
        </w:rPr>
        <w:t xml:space="preserve">Zgłoszenie </w:t>
      </w:r>
      <w:r>
        <w:rPr>
          <w:rFonts w:ascii="Times New Roman" w:hAnsi="Times New Roman" w:cs="Times New Roman" w:eastAsia="Times New Roman"/>
        </w:rPr>
        <w:t xml:space="preserve">nieprzygotowanie</w:t>
      </w:r>
      <w:r>
        <w:rPr>
          <w:rFonts w:ascii="Times New Roman" w:hAnsi="Times New Roman" w:cs="Times New Roman" w:eastAsia="Times New Roman"/>
        </w:rPr>
        <w:t xml:space="preserve"> po raz trzeci skutkuje wpisaniem uwagi z zachowania. </w:t>
      </w:r>
      <w:r>
        <w:rPr>
          <w:rFonts w:ascii="Times New Roman" w:hAnsi="Times New Roman" w:cs="Times New Roman" w:eastAsia="Times New Roman"/>
        </w:rPr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nieobecności uczeń ma obowiązek nadrobić zaległy materiał.</w:t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2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semestralna nie stanowi średniej arytmetycznej ocen cząstkowych uzyskanych przez ucznia w ciągu półrocza.</w:t>
      </w:r>
      <w:r/>
    </w:p>
    <w:p>
      <w:pPr>
        <w:pStyle w:val="8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6838" w:h="11906" w:orient="landscape"/>
      <w:pgMar w:top="1274" w:right="1417" w:bottom="1417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9"/>
    <w:next w:val="819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9"/>
    <w:next w:val="819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9"/>
    <w:next w:val="819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No Spacing"/>
    <w:uiPriority w:val="1"/>
    <w:qFormat/>
    <w:pPr>
      <w:spacing w:before="0" w:after="0" w:line="240" w:lineRule="auto"/>
    </w:pPr>
  </w:style>
  <w:style w:type="paragraph" w:styleId="661">
    <w:name w:val="Title"/>
    <w:basedOn w:val="819"/>
    <w:next w:val="819"/>
    <w:link w:val="6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2">
    <w:name w:val="Title Char"/>
    <w:basedOn w:val="820"/>
    <w:link w:val="661"/>
    <w:uiPriority w:val="10"/>
    <w:rPr>
      <w:sz w:val="48"/>
      <w:szCs w:val="48"/>
    </w:rPr>
  </w:style>
  <w:style w:type="paragraph" w:styleId="663">
    <w:name w:val="Subtitle"/>
    <w:basedOn w:val="819"/>
    <w:next w:val="819"/>
    <w:link w:val="664"/>
    <w:uiPriority w:val="11"/>
    <w:qFormat/>
    <w:pPr>
      <w:spacing w:before="200" w:after="200"/>
    </w:pPr>
    <w:rPr>
      <w:sz w:val="24"/>
      <w:szCs w:val="24"/>
    </w:rPr>
  </w:style>
  <w:style w:type="character" w:styleId="664">
    <w:name w:val="Subtitle Char"/>
    <w:basedOn w:val="820"/>
    <w:link w:val="663"/>
    <w:uiPriority w:val="11"/>
    <w:rPr>
      <w:sz w:val="24"/>
      <w:szCs w:val="24"/>
    </w:rPr>
  </w:style>
  <w:style w:type="paragraph" w:styleId="665">
    <w:name w:val="Quote"/>
    <w:basedOn w:val="819"/>
    <w:next w:val="819"/>
    <w:link w:val="666"/>
    <w:uiPriority w:val="29"/>
    <w:qFormat/>
    <w:pPr>
      <w:ind w:left="720" w:right="720"/>
    </w:pPr>
    <w:rPr>
      <w:i/>
    </w:rPr>
  </w:style>
  <w:style w:type="character" w:styleId="666">
    <w:name w:val="Quote Char"/>
    <w:link w:val="665"/>
    <w:uiPriority w:val="29"/>
    <w:rPr>
      <w:i/>
    </w:rPr>
  </w:style>
  <w:style w:type="paragraph" w:styleId="667">
    <w:name w:val="Intense Quote"/>
    <w:basedOn w:val="819"/>
    <w:next w:val="819"/>
    <w:link w:val="6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8">
    <w:name w:val="Intense Quote Char"/>
    <w:link w:val="667"/>
    <w:uiPriority w:val="30"/>
    <w:rPr>
      <w:i/>
    </w:rPr>
  </w:style>
  <w:style w:type="paragraph" w:styleId="669">
    <w:name w:val="Header"/>
    <w:basedOn w:val="819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Header Char"/>
    <w:basedOn w:val="820"/>
    <w:link w:val="669"/>
    <w:uiPriority w:val="99"/>
  </w:style>
  <w:style w:type="paragraph" w:styleId="671">
    <w:name w:val="Footer"/>
    <w:basedOn w:val="819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Footer Char"/>
    <w:basedOn w:val="820"/>
    <w:link w:val="671"/>
    <w:uiPriority w:val="99"/>
  </w:style>
  <w:style w:type="paragraph" w:styleId="673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671"/>
    <w:uiPriority w:val="99"/>
  </w:style>
  <w:style w:type="table" w:styleId="675">
    <w:name w:val="Table Grid"/>
    <w:basedOn w:val="8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2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4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5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6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7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8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9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0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4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7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9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0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1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2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3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4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5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7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8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9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0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1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2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3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5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6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7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8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9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0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1">
    <w:name w:val="Hyperlink"/>
    <w:uiPriority w:val="99"/>
    <w:unhideWhenUsed/>
    <w:rPr>
      <w:color w:val="0000FF" w:themeColor="hyperlink"/>
      <w:u w:val="single"/>
    </w:rPr>
  </w:style>
  <w:style w:type="paragraph" w:styleId="802">
    <w:name w:val="footnote text"/>
    <w:basedOn w:val="819"/>
    <w:link w:val="803"/>
    <w:uiPriority w:val="99"/>
    <w:semiHidden/>
    <w:unhideWhenUsed/>
    <w:pPr>
      <w:spacing w:after="40" w:line="240" w:lineRule="auto"/>
    </w:pPr>
    <w:rPr>
      <w:sz w:val="18"/>
    </w:r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pPr>
      <w:spacing w:after="0" w:line="240" w:lineRule="auto"/>
    </w:pPr>
    <w:rPr>
      <w:sz w:val="20"/>
    </w:r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pPr>
      <w:spacing w:after="160" w:line="259" w:lineRule="auto"/>
    </w:p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List Paragraph"/>
    <w:basedOn w:val="819"/>
    <w:uiPriority w:val="34"/>
    <w:qFormat/>
    <w:pPr>
      <w:contextualSpacing/>
      <w:ind w:left="720"/>
    </w:pPr>
  </w:style>
  <w:style w:type="paragraph" w:styleId="824" w:customStyle="1">
    <w:name w:val="western"/>
    <w:basedOn w:val="819"/>
    <w:pPr>
      <w:spacing w:before="100" w:beforeAutospacing="1" w:after="119" w:line="240" w:lineRule="auto"/>
    </w:pPr>
    <w:rPr>
      <w:rFonts w:ascii="Arial" w:hAnsi="Arial" w:cs="Arial" w:eastAsia="Times New Roman"/>
      <w:b/>
      <w:bCs/>
      <w:color w:val="000000"/>
      <w:sz w:val="18"/>
      <w:szCs w:val="18"/>
      <w:lang w:eastAsia="pl-PL"/>
    </w:rPr>
  </w:style>
  <w:style w:type="paragraph" w:styleId="825" w:customStyle="1">
    <w:name w:val="Zawartość tabeli"/>
    <w:basedOn w:val="819"/>
    <w:pPr>
      <w:spacing w:after="0" w:line="240" w:lineRule="auto"/>
      <w:suppressLineNumbers/>
    </w:pPr>
    <w:rPr>
      <w:rFonts w:ascii="Arial" w:hAnsi="Arial" w:cs="Times New Roman" w:eastAsia="Times New Roman"/>
      <w:b/>
      <w:sz w:val="18"/>
      <w:szCs w:val="18"/>
      <w:lang w:eastAsia="ar-SA"/>
    </w:rPr>
  </w:style>
  <w:style w:type="paragraph" w:styleId="826">
    <w:name w:val="Normal (Web)"/>
    <w:basedOn w:val="81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222A1F5-D961-4855-863B-E9FB4715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grudzińska</dc:creator>
  <cp:revision>9</cp:revision>
  <dcterms:created xsi:type="dcterms:W3CDTF">2022-08-29T20:11:00Z</dcterms:created>
  <dcterms:modified xsi:type="dcterms:W3CDTF">2022-08-31T10:21:57Z</dcterms:modified>
</cp:coreProperties>
</file>